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0C" w:rsidRDefault="006B630C"/>
    <w:p w:rsidR="006B630C" w:rsidRDefault="006B630C" w:rsidP="00FE1CCB"/>
    <w:p w:rsidR="006B630C" w:rsidRDefault="006B630C" w:rsidP="003D4713">
      <w:pPr>
        <w:jc w:val="center"/>
      </w:pPr>
    </w:p>
    <w:p w:rsidR="006B630C" w:rsidRDefault="006B630C" w:rsidP="003D4713">
      <w:pPr>
        <w:jc w:val="center"/>
      </w:pPr>
      <w:r>
        <w:t>Реализация мероприятий</w:t>
      </w:r>
    </w:p>
    <w:p w:rsidR="006B630C" w:rsidRDefault="006B630C" w:rsidP="003D4713">
      <w:pPr>
        <w:jc w:val="center"/>
      </w:pPr>
      <w:r>
        <w:t>государственной программы</w:t>
      </w:r>
      <w:r w:rsidRPr="00AE25F3">
        <w:t xml:space="preserve"> Российской Федерации </w:t>
      </w:r>
    </w:p>
    <w:p w:rsidR="006B630C" w:rsidRDefault="006B630C" w:rsidP="003D4713">
      <w:pPr>
        <w:jc w:val="center"/>
      </w:pPr>
      <w:r w:rsidRPr="00AE25F3">
        <w:t>"Комплексное развитие сельских территорий"</w:t>
      </w:r>
    </w:p>
    <w:p w:rsidR="006B630C" w:rsidRDefault="006B630C" w:rsidP="003D4713">
      <w:pPr>
        <w:jc w:val="center"/>
      </w:pPr>
      <w:r>
        <w:t>на территории муниципального образования</w:t>
      </w:r>
    </w:p>
    <w:p w:rsidR="006B630C" w:rsidRDefault="006B630C" w:rsidP="003D4713">
      <w:pPr>
        <w:jc w:val="center"/>
      </w:pPr>
      <w:r>
        <w:t>«Калевальский национальный район»</w:t>
      </w:r>
    </w:p>
    <w:p w:rsidR="006B630C" w:rsidRDefault="006B630C" w:rsidP="003D4713">
      <w:pPr>
        <w:jc w:val="center"/>
      </w:pPr>
    </w:p>
    <w:p w:rsidR="006B630C" w:rsidRDefault="006B630C" w:rsidP="003D4713">
      <w:pPr>
        <w:jc w:val="center"/>
      </w:pPr>
    </w:p>
    <w:p w:rsidR="006B630C" w:rsidRDefault="006B630C" w:rsidP="001939DF">
      <w:pPr>
        <w:jc w:val="both"/>
      </w:pPr>
      <w:r>
        <w:t xml:space="preserve">             На  территории Республики Карелия реализуются мероприятия </w:t>
      </w:r>
      <w:r w:rsidRPr="001939DF">
        <w:t>государственной программы Российской Федерации "Комплексное развитие сельских территорий"</w:t>
      </w:r>
      <w:r>
        <w:t xml:space="preserve">, утвержденной </w:t>
      </w:r>
      <w:r w:rsidRPr="001939DF">
        <w:t xml:space="preserve"> </w:t>
      </w:r>
      <w:r>
        <w:t>п</w:t>
      </w:r>
      <w:r w:rsidRPr="001939DF">
        <w:t>остановление</w:t>
      </w:r>
      <w:r>
        <w:t>м</w:t>
      </w:r>
      <w:r w:rsidRPr="001939DF">
        <w:t xml:space="preserve"> Правительства РФ от 31.05</w:t>
      </w:r>
      <w:r>
        <w:t>.2019 г. N696.  Приложением N11 к этой программе  установлены  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(далее - Правила).</w:t>
      </w:r>
      <w:bookmarkStart w:id="0" w:name="Par1279"/>
      <w:bookmarkEnd w:id="0"/>
      <w:r>
        <w:t xml:space="preserve"> Правилами определены цели,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обеспечении комплексного развития сельских территорий в рамках федерального проекта "Современный облик сельских территорий" направления (подпрограммы) "Создание и развитие инфраструктуры на сельских территориях" государственной программы Российской Федерации "Комплексное развитие сельских территорий", предусматривающего реализацию проектов комплексного развития сельских территорий или сельских агломераций.</w:t>
      </w:r>
    </w:p>
    <w:p w:rsidR="006B630C" w:rsidRDefault="006B630C" w:rsidP="009E663E">
      <w:pPr>
        <w:jc w:val="both"/>
      </w:pPr>
      <w:r>
        <w:t xml:space="preserve">              В рамках Правил финансирование проектов должно быть направлено на реализацию следующих направлений: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bookmarkStart w:id="1" w:name="Par1300"/>
      <w:bookmarkEnd w:id="1"/>
      <w:r>
        <w:t>а)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</w:t>
      </w:r>
    </w:p>
    <w:p w:rsidR="006B630C" w:rsidRDefault="006B630C" w:rsidP="009E663E">
      <w:pPr>
        <w:pStyle w:val="ConsPlusNormal"/>
        <w:spacing w:before="240"/>
        <w:ind w:firstLine="540"/>
        <w:jc w:val="both"/>
      </w:pPr>
      <w:r>
        <w:t>государственных или муниципальных образовательных организаций; организаций системы здравоохранения и культуры; физкультурно-спортивных организаций; государственных организаций социального обслуживания;</w:t>
      </w:r>
      <w:bookmarkStart w:id="2" w:name="Par1308"/>
      <w:bookmarkEnd w:id="2"/>
      <w:r>
        <w:t xml:space="preserve"> государственных учреждений, подведомственных уполномоченным в области ветеринарии;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bookmarkStart w:id="3" w:name="Par1309"/>
      <w:bookmarkEnd w:id="3"/>
      <w:r>
        <w:t xml:space="preserve">б) строительство, реконструкция (модернизация) объектов, предназначенных для размещения в них организаций народных художественных промыслов, входящих в перечень, утвержденный в соответствии с </w:t>
      </w:r>
      <w:hyperlink r:id="rId4" w:history="1">
        <w:r>
          <w:rPr>
            <w:color w:val="0000FF"/>
          </w:rPr>
          <w:t>пунктом 1 статьи 4</w:t>
        </w:r>
      </w:hyperlink>
      <w:r>
        <w:t xml:space="preserve"> Федерального закона "О народных художественных промыслах";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bookmarkStart w:id="4" w:name="Par1310"/>
      <w:bookmarkEnd w:id="4"/>
      <w:r>
        <w:t>в) реконструкция (модернизация), капитальный ремонт объектов ремесленной деятельности, объектов туризма, объектов, имеющих туристический потенциал, находящихся в государственной или муниципальной собственности;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r>
        <w:t xml:space="preserve">г) приобретение транспортных средств (не бывших в употреблении или эксплуатации) для обеспечения функционирования существующих или создаваемых в рамках проекта объектов, указанных в </w:t>
      </w:r>
      <w:hyperlink w:anchor="Par1300" w:tooltip="а)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" w:history="1">
        <w:r>
          <w:rPr>
            <w:color w:val="0000FF"/>
          </w:rPr>
          <w:t>пункте "а"</w:t>
        </w:r>
      </w:hyperlink>
      <w:r>
        <w:t>:</w:t>
      </w:r>
    </w:p>
    <w:p w:rsidR="006B630C" w:rsidRDefault="006B630C" w:rsidP="00FE1CCB">
      <w:pPr>
        <w:pStyle w:val="ConsPlusNormal"/>
        <w:spacing w:before="240"/>
        <w:ind w:firstLine="540"/>
        <w:jc w:val="both"/>
      </w:pPr>
      <w:r>
        <w:t xml:space="preserve">пассажирских автобусов (микроавтобусов), в том числе использующих природный газ в качестве моторного топлива; санитарных автомобилей (автомобилей скорой помощи класса "А", оснащенных необходимым оборудованием); комплексов передвижных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 мобильных ветеринарных пунктов на колесных транспортных </w:t>
      </w:r>
    </w:p>
    <w:p w:rsidR="006B630C" w:rsidRDefault="006B630C" w:rsidP="00FE1CCB">
      <w:pPr>
        <w:pStyle w:val="ConsPlusNormal"/>
        <w:spacing w:before="240"/>
        <w:ind w:firstLine="540"/>
        <w:jc w:val="both"/>
      </w:pPr>
    </w:p>
    <w:p w:rsidR="006B630C" w:rsidRDefault="006B630C" w:rsidP="00FE1CCB">
      <w:pPr>
        <w:pStyle w:val="ConsPlusNormal"/>
        <w:spacing w:before="240"/>
        <w:ind w:firstLine="540"/>
        <w:jc w:val="both"/>
      </w:pPr>
    </w:p>
    <w:p w:rsidR="006B630C" w:rsidRDefault="006B630C" w:rsidP="00FE1CCB">
      <w:pPr>
        <w:pStyle w:val="ConsPlusNormal"/>
        <w:spacing w:before="240"/>
        <w:jc w:val="both"/>
      </w:pPr>
      <w:r>
        <w:t>средствах с оснащением для оказания ветеринарной помощи и проведения профилактических мероприятий;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r>
        <w:t xml:space="preserve">д) приобретение и установка модульных конструкций (за исключением объектов с массовым пребыванием граждан, указанных в </w:t>
      </w:r>
      <w:hyperlink r:id="rId5" w:history="1">
        <w:r>
          <w:rPr>
            <w:color w:val="0000FF"/>
          </w:rPr>
          <w:t>части 2.2 статьи 49</w:t>
        </w:r>
      </w:hyperlink>
      <w:r>
        <w:t xml:space="preserve"> Градостроительного кодекса Российской Федерации), приобретение оборудования (не бывшего в употреблении или эксплуатации) для обеспечения функционирования существующих или создаваемых в рамках проекта объектов, перечисленных в </w:t>
      </w:r>
      <w:hyperlink w:anchor="Par1300" w:tooltip="а)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" w:history="1">
        <w:r>
          <w:rPr>
            <w:color w:val="0000FF"/>
          </w:rPr>
          <w:t>пункте "а"</w:t>
        </w:r>
      </w:hyperlink>
      <w:r>
        <w:t>;</w:t>
      </w:r>
    </w:p>
    <w:p w:rsidR="006B630C" w:rsidRPr="00FE1CCB" w:rsidRDefault="006B630C" w:rsidP="000E4E78">
      <w:pPr>
        <w:pStyle w:val="ConsPlusNormal"/>
        <w:spacing w:before="240"/>
        <w:ind w:firstLine="540"/>
        <w:jc w:val="both"/>
        <w:rPr>
          <w:b/>
        </w:rPr>
      </w:pPr>
      <w:r>
        <w:t>е) 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</w:t>
      </w:r>
      <w:r w:rsidRPr="00FE1CCB">
        <w:rPr>
          <w:b/>
        </w:rPr>
        <w:t>объектов социального назначения);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r>
        <w:t>ж) строительство блочно-модульных котельных и перевод многоквартирных домов на индивидуальное отопление (включая техническое присоединение к газовым сетям), строительство, реконструкция и капитальный ремонт тепловых сетей (за исключением котельных);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r>
        <w:t>з) строительство, реконструкция и капитальный ремонт электрических сетей уличного освещения, установка электрооборудования для уличного освещения (при условии обязательного использования энергосберегающих технологий);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r>
        <w:t>и) строительство и оборудование автономных и возобновляемых источников энергии для энергообеспечения объектов жилого и нежилого фонда (объектов социального назначения);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r>
        <w:t>к) развитие телекоммуникаций (строительство (прокладка) линий передачи данных, приобретение и монтаж оборудования, обеспечивающего в том числе возможность беспроводного подключения к информационно-телекоммуникационной сети "Интернет") объектов жилого и нежилого фонда (объектов социального назначения);</w:t>
      </w:r>
    </w:p>
    <w:p w:rsidR="006B630C" w:rsidRDefault="006B630C" w:rsidP="000E4E78">
      <w:pPr>
        <w:pStyle w:val="ConsPlusNormal"/>
        <w:spacing w:before="240"/>
        <w:ind w:firstLine="540"/>
        <w:jc w:val="both"/>
      </w:pPr>
      <w:r>
        <w:t xml:space="preserve">л) строительство объектов (зданий) для размещения в них многофункциональных государственных и муниципальных организаций, включая организации, указанные в </w:t>
      </w:r>
      <w:hyperlink w:anchor="Par1300" w:tooltip="а)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" w:history="1">
        <w:r>
          <w:rPr>
            <w:color w:val="0000FF"/>
          </w:rPr>
          <w:t>пункте "а"</w:t>
        </w:r>
      </w:hyperlink>
      <w:r>
        <w:t>, а также иные государственные и муниципальные организации и учреждения.</w:t>
      </w:r>
    </w:p>
    <w:p w:rsidR="006B630C" w:rsidRDefault="006B630C" w:rsidP="001939DF">
      <w:pPr>
        <w:jc w:val="both"/>
      </w:pPr>
    </w:p>
    <w:p w:rsidR="006B630C" w:rsidRDefault="006B630C" w:rsidP="001939DF">
      <w:pPr>
        <w:jc w:val="both"/>
      </w:pPr>
    </w:p>
    <w:p w:rsidR="006B630C" w:rsidRDefault="006B630C" w:rsidP="001939DF">
      <w:pPr>
        <w:jc w:val="both"/>
      </w:pPr>
      <w:r>
        <w:t xml:space="preserve">           Предоставление субсидии осуществляется через </w:t>
      </w:r>
      <w:r w:rsidRPr="00AE25F3">
        <w:t>конкурсный отбор</w:t>
      </w:r>
      <w:r>
        <w:t>, проводимый</w:t>
      </w:r>
      <w:r w:rsidRPr="00AE25F3">
        <w:t xml:space="preserve"> </w:t>
      </w:r>
      <w:r>
        <w:t>Минсельхозом</w:t>
      </w:r>
      <w:r w:rsidRPr="00AE25F3">
        <w:t xml:space="preserve"> России</w:t>
      </w:r>
      <w:r>
        <w:t>.</w:t>
      </w:r>
    </w:p>
    <w:p w:rsidR="006B630C" w:rsidRPr="001939DF" w:rsidRDefault="006B630C" w:rsidP="001939DF">
      <w:pPr>
        <w:jc w:val="both"/>
      </w:pPr>
      <w:r>
        <w:t xml:space="preserve">           Администрацией  Калевальского муниципального района  было принято решение  о принятии участия в 2022 году  в этом конкурсе.</w:t>
      </w:r>
    </w:p>
    <w:p w:rsidR="006B630C" w:rsidRDefault="006B630C" w:rsidP="00D2323A">
      <w:pPr>
        <w:jc w:val="both"/>
      </w:pPr>
      <w:r>
        <w:rPr>
          <w:kern w:val="1"/>
          <w:lang w:eastAsia="hi-IN" w:bidi="hi-IN"/>
        </w:rPr>
        <w:t xml:space="preserve">           В настоящее время  </w:t>
      </w:r>
      <w:r w:rsidRPr="002C2AAF">
        <w:rPr>
          <w:kern w:val="1"/>
          <w:lang w:eastAsia="hi-IN" w:bidi="hi-IN"/>
        </w:rPr>
        <w:t>Администрация Калевальского муниципального района  проводит подготовительную работу по сбору заявочной документации для включения</w:t>
      </w:r>
      <w:r>
        <w:rPr>
          <w:kern w:val="1"/>
          <w:sz w:val="28"/>
          <w:szCs w:val="28"/>
          <w:lang w:eastAsia="hi-IN" w:bidi="hi-IN"/>
        </w:rPr>
        <w:t xml:space="preserve">  </w:t>
      </w:r>
      <w:r>
        <w:t>проектов</w:t>
      </w:r>
      <w:r w:rsidRPr="00FD2408">
        <w:t xml:space="preserve"> комплексного развития сельских территорий</w:t>
      </w:r>
      <w:r>
        <w:t xml:space="preserve"> в государственную программу</w:t>
      </w:r>
      <w:r w:rsidRPr="00AE25F3">
        <w:t xml:space="preserve"> Российской Федерации "Комплексное развитие сельских территорий"</w:t>
      </w:r>
      <w:r>
        <w:t xml:space="preserve"> с целью</w:t>
      </w:r>
      <w:r w:rsidRPr="00AE25F3">
        <w:t xml:space="preserve"> привлечения финансирования из федерального бюджета</w:t>
      </w:r>
      <w:r>
        <w:t>.</w:t>
      </w:r>
    </w:p>
    <w:p w:rsidR="006B630C" w:rsidRDefault="006B630C" w:rsidP="00D2323A">
      <w:pPr>
        <w:jc w:val="both"/>
      </w:pPr>
      <w:r>
        <w:t xml:space="preserve">            Сбор документов осуществляется в соответствии с Приказом Министерства сельского хозяйства Российской Федерации от 17 ноября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 xml:space="preserve">. №767 «Об утверждении Порядка отбора проектов комплексного развития сельских территорий или сельских агломераций, а также требований к составу заявочной документации, представляемой на отбор проектов». </w:t>
      </w:r>
    </w:p>
    <w:p w:rsidR="006B630C" w:rsidRDefault="006B630C" w:rsidP="00D2323A">
      <w:pPr>
        <w:jc w:val="both"/>
      </w:pPr>
    </w:p>
    <w:p w:rsidR="006B630C" w:rsidRDefault="006B630C" w:rsidP="00D2323A">
      <w:pPr>
        <w:jc w:val="both"/>
      </w:pPr>
    </w:p>
    <w:p w:rsidR="006B630C" w:rsidRDefault="006B630C" w:rsidP="00D2323A">
      <w:pPr>
        <w:jc w:val="both"/>
      </w:pPr>
    </w:p>
    <w:p w:rsidR="006B630C" w:rsidRDefault="006B630C" w:rsidP="00D2323A">
      <w:pPr>
        <w:jc w:val="both"/>
      </w:pPr>
    </w:p>
    <w:p w:rsidR="006B630C" w:rsidRDefault="006B630C" w:rsidP="000C6205">
      <w:pPr>
        <w:jc w:val="both"/>
      </w:pPr>
      <w:r>
        <w:t xml:space="preserve">             Районная Администрация  готовит два паспорта проекта:</w:t>
      </w:r>
    </w:p>
    <w:p w:rsidR="006B630C" w:rsidRPr="00527FF9" w:rsidRDefault="006B630C" w:rsidP="000C6205">
      <w:pPr>
        <w:jc w:val="both"/>
        <w:rPr>
          <w:b/>
        </w:rPr>
      </w:pPr>
      <w:r>
        <w:t xml:space="preserve">- 1. </w:t>
      </w:r>
      <w:r w:rsidRPr="00A85080">
        <w:rPr>
          <w:b/>
        </w:rPr>
        <w:t>по Юшкозерскому сельскому поселению</w:t>
      </w:r>
      <w:r>
        <w:t xml:space="preserve">, в него включены проекты </w:t>
      </w:r>
      <w:r w:rsidRPr="006D5470">
        <w:t>«Капитальный ремонт здания МБОУ «Юшкозерская средняя общеобразовательная школа»; «Капитальный ремонт здания МБОУ «Кепская общеобразовательная школа имени Ортье Степанова»</w:t>
      </w:r>
      <w:r>
        <w:t xml:space="preserve">. Данные проекты планируется реализовать  на территории  населенных пунктов </w:t>
      </w:r>
      <w:r w:rsidRPr="00527FF9">
        <w:rPr>
          <w:b/>
        </w:rPr>
        <w:t>дер. Юшкозеро  и пос. Кепа.</w:t>
      </w:r>
    </w:p>
    <w:p w:rsidR="006B630C" w:rsidRDefault="006B630C" w:rsidP="000C6205">
      <w:pPr>
        <w:jc w:val="both"/>
      </w:pPr>
      <w:r>
        <w:t xml:space="preserve">- 2.  </w:t>
      </w:r>
      <w:r w:rsidRPr="00A85080">
        <w:rPr>
          <w:b/>
        </w:rPr>
        <w:t>по Калевальскому  городскому поселению</w:t>
      </w:r>
      <w:r>
        <w:t xml:space="preserve"> с прилегающей к нему территорией  Луусалмского сельского поселения п.Луусалми, в него включены проекты </w:t>
      </w:r>
      <w:r w:rsidRPr="00C55E70">
        <w:t>«Строительство здания детского сада на 300 мест в пгт. Калевала»</w:t>
      </w:r>
      <w:r>
        <w:t>;</w:t>
      </w:r>
      <w:r>
        <w:rPr>
          <w:sz w:val="28"/>
          <w:szCs w:val="28"/>
        </w:rPr>
        <w:t xml:space="preserve"> </w:t>
      </w:r>
      <w:r w:rsidRPr="00554E38">
        <w:t>«Строительство здания общеобразовательной организации в пос. Луусалми»</w:t>
      </w:r>
      <w:r>
        <w:t xml:space="preserve">. Данные проекты планируется реализовать  на территории  населенных пунктов </w:t>
      </w:r>
      <w:r w:rsidRPr="00527FF9">
        <w:rPr>
          <w:b/>
        </w:rPr>
        <w:t>пгт. Калевала и пос. Луусалми</w:t>
      </w:r>
      <w:r>
        <w:t>.</w:t>
      </w:r>
    </w:p>
    <w:p w:rsidR="006B630C" w:rsidRDefault="006B630C" w:rsidP="000C6205">
      <w:pPr>
        <w:jc w:val="both"/>
      </w:pPr>
    </w:p>
    <w:p w:rsidR="006B630C" w:rsidRDefault="006B630C" w:rsidP="000C620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Муниципальное бюджетное общеобразовательное учреждение </w:t>
      </w:r>
      <w:r w:rsidRPr="000C6205">
        <w:rPr>
          <w:b/>
          <w:szCs w:val="20"/>
          <w:lang w:eastAsia="ar-SA"/>
        </w:rPr>
        <w:t>«Юшкозерская средняя общеобразовательная школа»</w:t>
      </w:r>
      <w:r>
        <w:rPr>
          <w:szCs w:val="20"/>
          <w:lang w:eastAsia="ar-SA"/>
        </w:rPr>
        <w:t xml:space="preserve"> с общим контингентом 70 детей (из них 16 обучающихся дошкольной группы) располагается в здании 1963 года постройки, одноэтажное деревянное, с проектной мощностью на 120 человек. По проекту здание школы рассчитано на 10 учебных кабинетов. В здании никогда не проводился капитальный ремонт, отсутствует водопровод, только в помещениях пищеблока организовано водоснабжение через подвоз воды.</w:t>
      </w:r>
    </w:p>
    <w:p w:rsidR="006B630C" w:rsidRDefault="006B630C" w:rsidP="000C620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Здания «Юшкозерской СОШ» деревянные, фундаменты имеют сколы, смещения, трещины, в результате чего произошли частичные деформации стен, полов и деревянных оконных блоков. Требуется полная замена кровли, а также ремонт стропильной системы.</w:t>
      </w:r>
    </w:p>
    <w:p w:rsidR="006B630C" w:rsidRDefault="006B630C" w:rsidP="000C620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В адрес учреждения выданы предписания Роспотребнадзора, выполнить которые возможно только при проведении капитального ремонта.</w:t>
      </w:r>
    </w:p>
    <w:p w:rsidR="006B630C" w:rsidRDefault="006B630C" w:rsidP="000C620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Капитальный ремонт здания позволит обеспечить безопасность детей, создать комфортные условия обучения.</w:t>
      </w:r>
    </w:p>
    <w:p w:rsidR="006B630C" w:rsidRDefault="006B630C" w:rsidP="000C6205">
      <w:pPr>
        <w:jc w:val="both"/>
      </w:pPr>
    </w:p>
    <w:p w:rsidR="006B630C" w:rsidRPr="009E340C" w:rsidRDefault="006B630C" w:rsidP="00F3315A">
      <w:pPr>
        <w:ind w:firstLine="708"/>
        <w:jc w:val="both"/>
        <w:rPr>
          <w:szCs w:val="20"/>
          <w:lang w:eastAsia="ar-SA"/>
        </w:rPr>
      </w:pPr>
      <w:r w:rsidRPr="009E340C">
        <w:rPr>
          <w:szCs w:val="20"/>
          <w:lang w:eastAsia="ar-SA"/>
        </w:rPr>
        <w:t xml:space="preserve">Муниципальное бюджетное </w:t>
      </w:r>
      <w:r>
        <w:rPr>
          <w:szCs w:val="20"/>
          <w:lang w:eastAsia="ar-SA"/>
        </w:rPr>
        <w:t>обще</w:t>
      </w:r>
      <w:r w:rsidRPr="009E340C">
        <w:rPr>
          <w:szCs w:val="20"/>
          <w:lang w:eastAsia="ar-SA"/>
        </w:rPr>
        <w:t xml:space="preserve">образовательное учреждение </w:t>
      </w:r>
      <w:r w:rsidRPr="000C6205">
        <w:rPr>
          <w:b/>
          <w:szCs w:val="20"/>
          <w:lang w:eastAsia="ar-SA"/>
        </w:rPr>
        <w:t>«Кепская основная школа им. Ортье Степанова»</w:t>
      </w:r>
      <w:r w:rsidRPr="009E340C">
        <w:rPr>
          <w:szCs w:val="20"/>
          <w:lang w:eastAsia="ar-SA"/>
        </w:rPr>
        <w:t xml:space="preserve"> с общим контингентом 28 детей (из них 10 обучающихся дошкольной группы) располагается в здании 1946 года постройки. В здании никогда не проводился капитальный ремонт.</w:t>
      </w:r>
    </w:p>
    <w:p w:rsidR="006B630C" w:rsidRPr="009E340C" w:rsidRDefault="006B630C" w:rsidP="00F3315A">
      <w:pPr>
        <w:ind w:firstLine="708"/>
        <w:jc w:val="both"/>
        <w:rPr>
          <w:szCs w:val="20"/>
          <w:lang w:eastAsia="ar-SA"/>
        </w:rPr>
      </w:pPr>
      <w:r w:rsidRPr="009E340C">
        <w:rPr>
          <w:szCs w:val="20"/>
          <w:lang w:eastAsia="ar-SA"/>
        </w:rPr>
        <w:t>Здание деревянное, фундаменты имеют сколы, смещения, трещины, в результате чего произошли частичные деформации стен, полов и деревянных оконных блоков. Требуется полная замена кровли, а также ремонт стропильной системы.</w:t>
      </w:r>
    </w:p>
    <w:p w:rsidR="006B630C" w:rsidRPr="00AA491E" w:rsidRDefault="006B630C" w:rsidP="00AA491E">
      <w:pPr>
        <w:ind w:firstLine="708"/>
        <w:jc w:val="both"/>
        <w:rPr>
          <w:szCs w:val="20"/>
          <w:lang w:eastAsia="ar-SA"/>
        </w:rPr>
      </w:pPr>
      <w:r w:rsidRPr="009E340C">
        <w:rPr>
          <w:szCs w:val="20"/>
          <w:lang w:eastAsia="ar-SA"/>
        </w:rPr>
        <w:t>Капитальный ремонт здани</w:t>
      </w:r>
      <w:r>
        <w:rPr>
          <w:szCs w:val="20"/>
          <w:lang w:eastAsia="ar-SA"/>
        </w:rPr>
        <w:t>я</w:t>
      </w:r>
      <w:r w:rsidRPr="009E340C">
        <w:rPr>
          <w:szCs w:val="20"/>
          <w:lang w:eastAsia="ar-SA"/>
        </w:rPr>
        <w:t xml:space="preserve"> позволит обеспечить безопасность детей, создать комфортные условия обучения.</w:t>
      </w:r>
    </w:p>
    <w:p w:rsidR="006B630C" w:rsidRDefault="006B630C" w:rsidP="00792E03">
      <w:pPr>
        <w:jc w:val="both"/>
      </w:pPr>
      <w:r>
        <w:t xml:space="preserve">            </w:t>
      </w:r>
      <w:bookmarkStart w:id="5" w:name="_GoBack"/>
      <w:bookmarkEnd w:id="5"/>
    </w:p>
    <w:p w:rsidR="006B630C" w:rsidRDefault="006B630C" w:rsidP="00AA491E">
      <w:pPr>
        <w:ind w:firstLine="708"/>
        <w:jc w:val="both"/>
        <w:rPr>
          <w:szCs w:val="20"/>
          <w:lang w:eastAsia="ar-SA"/>
        </w:rPr>
      </w:pPr>
      <w:r w:rsidRPr="009E340C">
        <w:rPr>
          <w:szCs w:val="20"/>
          <w:lang w:eastAsia="ar-SA"/>
        </w:rPr>
        <w:t xml:space="preserve">Муниципальное бюджетное </w:t>
      </w:r>
      <w:r>
        <w:rPr>
          <w:szCs w:val="20"/>
          <w:lang w:eastAsia="ar-SA"/>
        </w:rPr>
        <w:t>обще</w:t>
      </w:r>
      <w:r w:rsidRPr="009E340C">
        <w:rPr>
          <w:szCs w:val="20"/>
          <w:lang w:eastAsia="ar-SA"/>
        </w:rPr>
        <w:t xml:space="preserve">образовательное учреждение </w:t>
      </w:r>
      <w:r>
        <w:rPr>
          <w:b/>
          <w:szCs w:val="20"/>
          <w:lang w:eastAsia="ar-SA"/>
        </w:rPr>
        <w:t>«Луусалм</w:t>
      </w:r>
      <w:r w:rsidRPr="000C6205">
        <w:rPr>
          <w:b/>
          <w:szCs w:val="20"/>
          <w:lang w:eastAsia="ar-SA"/>
        </w:rPr>
        <w:t>ская ос</w:t>
      </w:r>
      <w:r>
        <w:rPr>
          <w:b/>
          <w:szCs w:val="20"/>
          <w:lang w:eastAsia="ar-SA"/>
        </w:rPr>
        <w:t xml:space="preserve">новная </w:t>
      </w:r>
      <w:r w:rsidRPr="000C6205">
        <w:rPr>
          <w:b/>
          <w:szCs w:val="20"/>
          <w:lang w:eastAsia="ar-SA"/>
        </w:rPr>
        <w:t>общеобразовательная</w:t>
      </w:r>
      <w:r>
        <w:rPr>
          <w:b/>
          <w:szCs w:val="20"/>
          <w:lang w:eastAsia="ar-SA"/>
        </w:rPr>
        <w:t xml:space="preserve"> школа</w:t>
      </w:r>
      <w:r w:rsidRPr="000C6205">
        <w:rPr>
          <w:b/>
          <w:szCs w:val="20"/>
          <w:lang w:eastAsia="ar-SA"/>
        </w:rPr>
        <w:t>»</w:t>
      </w:r>
      <w:r>
        <w:rPr>
          <w:b/>
          <w:szCs w:val="20"/>
          <w:lang w:eastAsia="ar-SA"/>
        </w:rPr>
        <w:t xml:space="preserve">  </w:t>
      </w:r>
      <w:r w:rsidRPr="009E340C">
        <w:rPr>
          <w:szCs w:val="20"/>
          <w:lang w:eastAsia="ar-SA"/>
        </w:rPr>
        <w:t xml:space="preserve">с общим </w:t>
      </w:r>
      <w:r>
        <w:rPr>
          <w:szCs w:val="20"/>
          <w:lang w:eastAsia="ar-SA"/>
        </w:rPr>
        <w:t>контингентом 21 человек (из них 5</w:t>
      </w:r>
      <w:r w:rsidRPr="009E340C">
        <w:rPr>
          <w:szCs w:val="20"/>
          <w:lang w:eastAsia="ar-SA"/>
        </w:rPr>
        <w:t xml:space="preserve"> обучающихся дошкольной группы)</w:t>
      </w:r>
      <w:r>
        <w:rPr>
          <w:szCs w:val="20"/>
          <w:lang w:eastAsia="ar-SA"/>
        </w:rPr>
        <w:t xml:space="preserve">  после пожара в 2019 г. размещаются – школа в помещении Администрации Луусалмского сельского поселения, детский садик в помещении  Дома культуры. Необходимо строительство новой школы в п.Луусалми. </w:t>
      </w:r>
    </w:p>
    <w:p w:rsidR="006B630C" w:rsidRDefault="006B630C" w:rsidP="000C6205">
      <w:pPr>
        <w:jc w:val="both"/>
        <w:rPr>
          <w:szCs w:val="20"/>
          <w:lang w:eastAsia="ar-SA"/>
        </w:rPr>
      </w:pPr>
    </w:p>
    <w:p w:rsidR="006B630C" w:rsidRDefault="006B630C" w:rsidP="000C6205">
      <w:pPr>
        <w:jc w:val="both"/>
      </w:pPr>
      <w:r>
        <w:t xml:space="preserve">           «</w:t>
      </w:r>
      <w:r w:rsidRPr="00C55E70">
        <w:t>Строительство здания детского сада на 300 мест в пгт. Калевала</w:t>
      </w:r>
      <w:r>
        <w:t xml:space="preserve">» : Муниципальное бюджетное дошкольное  образовательное учреждение «Детский сад №2 п.Калевала»  (общий контингент на 01.11.2022 г. 198 детей) имеет  четыре деревянных здания  различных площадей, что в настоящее время не соответствует САНПИНам. Необходимо строительство нового детского сада. </w:t>
      </w:r>
    </w:p>
    <w:sectPr w:rsidR="006B630C" w:rsidSect="003D471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983"/>
    <w:rsid w:val="000C6205"/>
    <w:rsid w:val="000E4E78"/>
    <w:rsid w:val="001939DF"/>
    <w:rsid w:val="00263430"/>
    <w:rsid w:val="002734D5"/>
    <w:rsid w:val="002C2AAF"/>
    <w:rsid w:val="00365847"/>
    <w:rsid w:val="003D4713"/>
    <w:rsid w:val="0045473F"/>
    <w:rsid w:val="00483C38"/>
    <w:rsid w:val="00524EF4"/>
    <w:rsid w:val="00527FF9"/>
    <w:rsid w:val="00554E38"/>
    <w:rsid w:val="0058616B"/>
    <w:rsid w:val="005F2983"/>
    <w:rsid w:val="006B630C"/>
    <w:rsid w:val="006D5470"/>
    <w:rsid w:val="00792E03"/>
    <w:rsid w:val="00880ABA"/>
    <w:rsid w:val="009260D4"/>
    <w:rsid w:val="00986660"/>
    <w:rsid w:val="00996397"/>
    <w:rsid w:val="009B16E2"/>
    <w:rsid w:val="009E340C"/>
    <w:rsid w:val="009E663E"/>
    <w:rsid w:val="00A85080"/>
    <w:rsid w:val="00A85F2E"/>
    <w:rsid w:val="00AA491E"/>
    <w:rsid w:val="00AE25F3"/>
    <w:rsid w:val="00AF23D3"/>
    <w:rsid w:val="00C55E70"/>
    <w:rsid w:val="00D00403"/>
    <w:rsid w:val="00D17A39"/>
    <w:rsid w:val="00D2323A"/>
    <w:rsid w:val="00D36228"/>
    <w:rsid w:val="00D73744"/>
    <w:rsid w:val="00EB4E21"/>
    <w:rsid w:val="00F3315A"/>
    <w:rsid w:val="00FD2408"/>
    <w:rsid w:val="00F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639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963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3542&amp;date=09.02.2022&amp;dst=2505&amp;field=134" TargetMode="External"/><Relationship Id="rId4" Type="http://schemas.openxmlformats.org/officeDocument/2006/relationships/hyperlink" Target="https://login.consultant.ru/link/?req=doc&amp;base=LAW&amp;n=221332&amp;date=09.02.2022&amp;dst=6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1512</Words>
  <Characters>8619</Characters>
  <Application>Microsoft Office Outlook</Application>
  <DocSecurity>0</DocSecurity>
  <Lines>0</Lines>
  <Paragraphs>0</Paragraphs>
  <ScaleCrop>false</ScaleCrop>
  <Company>KOMP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123</cp:lastModifiedBy>
  <cp:revision>19</cp:revision>
  <cp:lastPrinted>2022-11-01T12:05:00Z</cp:lastPrinted>
  <dcterms:created xsi:type="dcterms:W3CDTF">2022-10-31T17:09:00Z</dcterms:created>
  <dcterms:modified xsi:type="dcterms:W3CDTF">2022-11-01T12:06:00Z</dcterms:modified>
</cp:coreProperties>
</file>